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160" w:firstLine="0"/>
        <w:rPr>
          <w:rFonts w:ascii="Roboto Black" w:cs="Roboto Black" w:eastAsia="Roboto Black" w:hAnsi="Roboto Black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Roboto Black" w:cs="Roboto Black" w:eastAsia="Roboto Black" w:hAnsi="Roboto Black"/>
          <w:i w:val="1"/>
          <w:rtl w:val="0"/>
        </w:rPr>
        <w:t xml:space="preserve">             </w:t>
      </w:r>
      <w:r w:rsidDel="00000000" w:rsidR="00000000" w:rsidRPr="00000000">
        <w:rPr>
          <w:rFonts w:ascii="Roboto Black" w:cs="Roboto Black" w:eastAsia="Roboto Black" w:hAnsi="Roboto Black"/>
          <w:i w:val="1"/>
          <w:sz w:val="50"/>
          <w:szCs w:val="50"/>
          <w:rtl w:val="0"/>
        </w:rPr>
        <w:t xml:space="preserve">FESCO        FENCE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2190750</wp:posOffset>
            </wp:positionH>
            <wp:positionV relativeFrom="paragraph">
              <wp:posOffset>0</wp:posOffset>
            </wp:positionV>
            <wp:extent cx="2319338" cy="94071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9338" cy="940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2160" w:firstLine="720"/>
        <w:rPr>
          <w:rFonts w:ascii="Roboto Black" w:cs="Roboto Black" w:eastAsia="Roboto Black" w:hAnsi="Roboto Black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60" w:firstLine="720"/>
        <w:rPr>
          <w:sz w:val="20"/>
          <w:szCs w:val="20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</w:t>
        <w:tab/>
        <w:tab/>
        <w:tab/>
        <w:tab/>
        <w:tab/>
        <w:tab/>
      </w:r>
      <w:r w:rsidDel="00000000" w:rsidR="00000000" w:rsidRPr="00000000">
        <w:rPr>
          <w:sz w:val="22"/>
          <w:szCs w:val="22"/>
          <w:vertAlign w:val="baseline"/>
        </w:rPr>
        <w:drawing>
          <wp:inline distB="0" distT="0" distL="114300" distR="114300">
            <wp:extent cx="996105" cy="30209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6105" cy="3020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 xml:space="preserve">    </w:t>
        <w:tab/>
        <w:t xml:space="preserve">  </w:t>
        <w:tab/>
      </w:r>
      <w:r w:rsidDel="00000000" w:rsidR="00000000" w:rsidRPr="00000000">
        <w:rPr>
          <w:sz w:val="20"/>
          <w:szCs w:val="20"/>
          <w:rtl w:val="0"/>
        </w:rPr>
        <w:t xml:space="preserve">     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Providing Quality &amp; Service Since 1969</w:t>
      </w:r>
    </w:p>
    <w:p w:rsidR="00000000" w:rsidDel="00000000" w:rsidP="00000000" w:rsidRDefault="00000000" w:rsidRPr="00000000" w14:paraId="00000004">
      <w:pPr>
        <w:ind w:left="2160" w:firstLine="72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      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Custom Fences – Baby Barns – Decks </w:t>
      </w:r>
    </w:p>
    <w:p w:rsidR="00000000" w:rsidDel="00000000" w:rsidP="00000000" w:rsidRDefault="00000000" w:rsidRPr="00000000" w14:paraId="00000005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 xml:space="preserve">   </w:t>
        <w:tab/>
      </w:r>
      <w:r w:rsidDel="00000000" w:rsidR="00000000" w:rsidRPr="00000000">
        <w:rPr>
          <w:sz w:val="20"/>
          <w:szCs w:val="20"/>
          <w:rtl w:val="0"/>
        </w:rPr>
        <w:t xml:space="preserve">     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237 S. Rte 303, West Nyack, NY 10994</w:t>
      </w:r>
    </w:p>
    <w:p w:rsidR="00000000" w:rsidDel="00000000" w:rsidP="00000000" w:rsidRDefault="00000000" w:rsidRPr="00000000" w14:paraId="0000000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  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845-358-7900    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vertAlign w:val="baseline"/>
            <w:rtl w:val="0"/>
          </w:rPr>
          <w:t xml:space="preserve">info@fescofence.com</w:t>
        </w:r>
      </w:hyperlink>
      <w:r w:rsidDel="00000000" w:rsidR="00000000" w:rsidRPr="00000000">
        <w:rPr>
          <w:sz w:val="20"/>
          <w:szCs w:val="20"/>
          <w:vertAlign w:val="baseline"/>
          <w:rtl w:val="0"/>
        </w:rPr>
        <w:t xml:space="preserve">   www.fescofence.com</w:t>
      </w:r>
    </w:p>
    <w:p w:rsidR="00000000" w:rsidDel="00000000" w:rsidP="00000000" w:rsidRDefault="00000000" w:rsidRPr="00000000" w14:paraId="00000007">
      <w:pPr>
        <w:keepNext w:val="1"/>
        <w:keepLines w:val="1"/>
        <w:tabs>
          <w:tab w:val="center" w:leader="none" w:pos="724"/>
          <w:tab w:val="center" w:leader="none" w:pos="1444"/>
          <w:tab w:val="center" w:leader="none" w:pos="2164"/>
          <w:tab w:val="center" w:leader="none" w:pos="4855"/>
          <w:tab w:val="center" w:leader="none" w:pos="7923"/>
          <w:tab w:val="center" w:leader="none" w:pos="8989"/>
        </w:tabs>
        <w:spacing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08">
      <w:pPr>
        <w:ind w:left="864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7-23-25</w:t>
      </w:r>
    </w:p>
    <w:p w:rsidR="00000000" w:rsidDel="00000000" w:rsidP="00000000" w:rsidRDefault="00000000" w:rsidRPr="00000000" w14:paraId="00000009">
      <w:pPr>
        <w:ind w:left="2880" w:firstLine="72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u w:val="single"/>
          <w:rtl w:val="0"/>
        </w:rPr>
        <w:t xml:space="preserve">Fence Warranty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Fesco guarantees our residential fences for 5 years.   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You have the option of a lifetime warranty on our workmanship as long as our fence sign remains on your fence in a location visible from the road. 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Non-residential fences are guaranteed for 1 year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What’s covered: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Defects in workmanship for 5 years, upgrade to lifetime workmanship warranty as long as our sign remains on your fence in a visible location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Gate hinges and latch adjustments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Loose posts or naturally occurring minor Fence leaning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Loose pickets or boards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Self-closing gates for 2 years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What’s not covered: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Acts of nature or abuse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Ground settling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Frost heave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Mulch or other items up against the fence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Mold or staining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Wind damage particularly after leaving gates open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Wood fences: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FescoSpec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wood fences made by Fesco; material and workmanship guaranteed for 3 years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Prefab fences are guaranteed for 1 year for material and workmanship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Checking naturally occurs and is not covered, however complete splits through posts that are structural issues are covered 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Warping is a natural process and is not covered</w:t>
      </w:r>
    </w:p>
    <w:p w:rsidR="00000000" w:rsidDel="00000000" w:rsidP="00000000" w:rsidRDefault="00000000" w:rsidRPr="00000000" w14:paraId="00000021">
      <w:pPr>
        <w:spacing w:line="259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Aluminum fences see the Catalyst warranty for materials coverage</w:t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MIxed Materials see the Catalyst warranty for materials coverage</w:t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Vinyl fences see the Catalyst warranty for materials coverage</w:t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Steel fences see the Ameristar warranty for materials coverage</w:t>
      </w:r>
    </w:p>
    <w:p w:rsidR="00000000" w:rsidDel="00000000" w:rsidP="00000000" w:rsidRDefault="00000000" w:rsidRPr="00000000" w14:paraId="00000026">
      <w:pPr>
        <w:keepNext w:val="1"/>
        <w:keepLines w:val="1"/>
        <w:tabs>
          <w:tab w:val="center" w:leader="none" w:pos="724"/>
          <w:tab w:val="center" w:leader="none" w:pos="1444"/>
          <w:tab w:val="center" w:leader="none" w:pos="2164"/>
          <w:tab w:val="center" w:leader="none" w:pos="4855"/>
          <w:tab w:val="center" w:leader="none" w:pos="7923"/>
          <w:tab w:val="center" w:leader="none" w:pos="8989"/>
        </w:tabs>
        <w:spacing w:line="259" w:lineRule="auto"/>
        <w:rPr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Chain link and pipe see the Stephens Pipe &amp; Steel warranty for materials coverage</w:t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" w:top="144" w:left="720" w:right="720" w:header="288" w:footer="144"/>
      <w:pgNumType w:start="1"/>
      <w:cols w:equalWidth="0" w:num="1">
        <w:col w:space="0" w:w="108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Roboto Black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yperlink" Target="mailto:info@fescofenc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